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B052" w14:textId="77777777" w:rsidR="000F137F" w:rsidRDefault="000F137F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701956AA" wp14:editId="171EB1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6350" cy="1715135"/>
            <wp:effectExtent l="19050" t="19050" r="19050" b="18415"/>
            <wp:wrapSquare wrapText="bothSides"/>
            <wp:docPr id="1780804556" name="Image 3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804556" name="Image 3" descr="Une image contenant texte, Police, Graphique, logo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15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EE94B" w14:textId="77777777" w:rsidR="000F137F" w:rsidRDefault="000F137F">
      <w:pPr>
        <w:rPr>
          <w:rFonts w:cstheme="minorHAnsi"/>
        </w:rPr>
      </w:pPr>
    </w:p>
    <w:p w14:paraId="4138C23B" w14:textId="77777777" w:rsidR="000F137F" w:rsidRDefault="000F137F">
      <w:pPr>
        <w:rPr>
          <w:rFonts w:cstheme="minorHAnsi"/>
        </w:rPr>
      </w:pPr>
    </w:p>
    <w:p w14:paraId="39801F0F" w14:textId="77777777" w:rsidR="000F137F" w:rsidRDefault="000F137F">
      <w:pPr>
        <w:rPr>
          <w:rFonts w:cstheme="minorHAnsi"/>
        </w:rPr>
      </w:pPr>
    </w:p>
    <w:p w14:paraId="03346330" w14:textId="77777777" w:rsidR="000F137F" w:rsidRDefault="000F137F">
      <w:pPr>
        <w:rPr>
          <w:rFonts w:cstheme="minorHAnsi"/>
        </w:rPr>
      </w:pPr>
    </w:p>
    <w:p w14:paraId="0BCDC8A9" w14:textId="77777777" w:rsidR="000F137F" w:rsidRDefault="000F137F">
      <w:pPr>
        <w:rPr>
          <w:rFonts w:cstheme="minorHAnsi"/>
        </w:rPr>
      </w:pPr>
    </w:p>
    <w:p w14:paraId="7097B2EB" w14:textId="77777777" w:rsidR="000F137F" w:rsidRDefault="000F137F">
      <w:pPr>
        <w:rPr>
          <w:rFonts w:cstheme="minorHAnsi"/>
        </w:rPr>
      </w:pPr>
    </w:p>
    <w:p w14:paraId="06B7C2B3" w14:textId="77777777" w:rsidR="000F137F" w:rsidRPr="00ED69C2" w:rsidRDefault="000F137F" w:rsidP="00ED69C2">
      <w:pPr>
        <w:jc w:val="center"/>
        <w:rPr>
          <w:rFonts w:cstheme="minorHAnsi"/>
          <w:b/>
          <w:bCs/>
          <w:sz w:val="28"/>
          <w:szCs w:val="28"/>
        </w:rPr>
      </w:pPr>
      <w:r w:rsidRPr="00ED69C2">
        <w:rPr>
          <w:rFonts w:cstheme="minorHAnsi"/>
          <w:b/>
          <w:bCs/>
          <w:sz w:val="28"/>
          <w:szCs w:val="28"/>
        </w:rPr>
        <w:t>CONVENTION DE MISE A DISPOSITION DU BROYEUR A VEGETAUX</w:t>
      </w:r>
    </w:p>
    <w:p w14:paraId="52B4EF6B" w14:textId="77777777" w:rsidR="000F137F" w:rsidRPr="00ED69C2" w:rsidRDefault="000F137F" w:rsidP="00ED69C2">
      <w:pPr>
        <w:jc w:val="center"/>
        <w:rPr>
          <w:rFonts w:cstheme="minorHAnsi"/>
          <w:b/>
          <w:bCs/>
          <w:sz w:val="28"/>
          <w:szCs w:val="28"/>
        </w:rPr>
      </w:pPr>
      <w:r w:rsidRPr="00ED69C2">
        <w:rPr>
          <w:rFonts w:cstheme="minorHAnsi"/>
          <w:b/>
          <w:bCs/>
          <w:sz w:val="28"/>
          <w:szCs w:val="28"/>
        </w:rPr>
        <w:t>AUX COMMUNES</w:t>
      </w:r>
    </w:p>
    <w:p w14:paraId="0251C407" w14:textId="77777777" w:rsidR="000F137F" w:rsidRDefault="000F137F">
      <w:pPr>
        <w:rPr>
          <w:rFonts w:cstheme="minorHAnsi"/>
        </w:rPr>
      </w:pPr>
    </w:p>
    <w:p w14:paraId="15D9E017" w14:textId="77777777" w:rsidR="000F137F" w:rsidRDefault="000F137F">
      <w:pPr>
        <w:rPr>
          <w:rFonts w:cstheme="minorHAnsi"/>
        </w:rPr>
      </w:pPr>
    </w:p>
    <w:p w14:paraId="627697E4" w14:textId="77777777" w:rsidR="0031336E" w:rsidRDefault="000F137F" w:rsidP="005371C9">
      <w:pPr>
        <w:jc w:val="both"/>
        <w:rPr>
          <w:rFonts w:cstheme="minorHAnsi"/>
        </w:rPr>
      </w:pPr>
      <w:r>
        <w:rPr>
          <w:rFonts w:cstheme="minorHAnsi"/>
        </w:rPr>
        <w:t>Le SICTOM de la zone de Dole propose aux communes adhérentes la mise à disposition d’un broyeur à végétaux, afin de permettre aux communes d’organiser des opérations de broyage</w:t>
      </w:r>
      <w:r w:rsidR="004A1B95">
        <w:rPr>
          <w:rFonts w:cstheme="minorHAnsi"/>
        </w:rPr>
        <w:t xml:space="preserve">. La présente convention décrit les modalités d’emprunt du broyeur. </w:t>
      </w:r>
      <w:r>
        <w:rPr>
          <w:rFonts w:cstheme="minorHAnsi"/>
        </w:rPr>
        <w:t xml:space="preserve"> </w:t>
      </w:r>
    </w:p>
    <w:p w14:paraId="7AADE5E2" w14:textId="77777777" w:rsidR="004A1B95" w:rsidRDefault="004A1B95" w:rsidP="005371C9">
      <w:pPr>
        <w:jc w:val="both"/>
        <w:rPr>
          <w:rFonts w:cstheme="minorHAnsi"/>
        </w:rPr>
      </w:pPr>
    </w:p>
    <w:p w14:paraId="7C590A0E" w14:textId="77777777" w:rsidR="004A1B95" w:rsidRPr="00ED69C2" w:rsidRDefault="004A1B95" w:rsidP="005371C9">
      <w:pPr>
        <w:jc w:val="both"/>
        <w:rPr>
          <w:rFonts w:cstheme="minorHAnsi"/>
          <w:b/>
          <w:bCs/>
        </w:rPr>
      </w:pPr>
      <w:r w:rsidRPr="00ED69C2">
        <w:rPr>
          <w:rFonts w:cstheme="minorHAnsi"/>
          <w:b/>
          <w:bCs/>
        </w:rPr>
        <w:t xml:space="preserve">Entre, </w:t>
      </w:r>
    </w:p>
    <w:p w14:paraId="7EE3BE22" w14:textId="77777777" w:rsidR="004A1B95" w:rsidRDefault="004A1B95" w:rsidP="005371C9">
      <w:pPr>
        <w:jc w:val="both"/>
        <w:rPr>
          <w:rFonts w:cstheme="minorHAnsi"/>
        </w:rPr>
      </w:pPr>
      <w:r w:rsidRPr="00ED69C2">
        <w:rPr>
          <w:rFonts w:cstheme="minorHAnsi"/>
          <w:b/>
          <w:bCs/>
        </w:rPr>
        <w:t>Le SICTOM de la zone de Dole</w:t>
      </w:r>
      <w:r>
        <w:rPr>
          <w:rFonts w:cstheme="minorHAnsi"/>
        </w:rPr>
        <w:t xml:space="preserve">, ayant son siège social au 22, allée du Bois à Brevans représenté par son Président, Monsieur Jean-Pascal FICHERE, dûment habilité aux termes de la délibération du Bureau syndical du 21 mai 2025.  </w:t>
      </w:r>
    </w:p>
    <w:p w14:paraId="020212B8" w14:textId="77777777" w:rsidR="004A1B95" w:rsidRPr="00ED69C2" w:rsidRDefault="004A1B95" w:rsidP="005371C9">
      <w:pPr>
        <w:jc w:val="both"/>
        <w:rPr>
          <w:rFonts w:cstheme="minorHAnsi"/>
          <w:b/>
          <w:bCs/>
        </w:rPr>
      </w:pPr>
      <w:r w:rsidRPr="00ED69C2">
        <w:rPr>
          <w:rFonts w:cstheme="minorHAnsi"/>
          <w:b/>
          <w:bCs/>
        </w:rPr>
        <w:t xml:space="preserve">Et (à compléter par l’emprunteur), </w:t>
      </w:r>
    </w:p>
    <w:p w14:paraId="2494D3C5" w14:textId="77777777" w:rsidR="004A1B95" w:rsidRDefault="004A1B95" w:rsidP="005371C9">
      <w:pPr>
        <w:jc w:val="both"/>
        <w:rPr>
          <w:rFonts w:cstheme="minorHAnsi"/>
        </w:rPr>
      </w:pPr>
      <w:r>
        <w:rPr>
          <w:rFonts w:cstheme="minorHAnsi"/>
        </w:rPr>
        <w:t>M/Mme 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7C8CE583" w14:textId="77777777" w:rsidR="004A1B95" w:rsidRDefault="004A1B95" w:rsidP="005371C9">
      <w:pPr>
        <w:jc w:val="both"/>
        <w:rPr>
          <w:rFonts w:cstheme="minorHAnsi"/>
        </w:rPr>
      </w:pPr>
      <w:r>
        <w:rPr>
          <w:rFonts w:cstheme="minorHAnsi"/>
        </w:rPr>
        <w:t>Représentant de la commune : ……………………………………………………………………………………………………….</w:t>
      </w:r>
    </w:p>
    <w:p w14:paraId="444DC53B" w14:textId="77777777" w:rsidR="004A1B95" w:rsidRDefault="004A1B95" w:rsidP="005371C9">
      <w:pPr>
        <w:jc w:val="both"/>
        <w:rPr>
          <w:rFonts w:cstheme="minorHAnsi"/>
        </w:rPr>
      </w:pPr>
      <w:r>
        <w:rPr>
          <w:rFonts w:cstheme="minorHAnsi"/>
        </w:rPr>
        <w:t>Fonction : ………………………………………………………………………………………………………………………………………</w:t>
      </w:r>
    </w:p>
    <w:p w14:paraId="76943EF9" w14:textId="77777777" w:rsidR="004A1B95" w:rsidRDefault="004A1B95" w:rsidP="005371C9">
      <w:pPr>
        <w:jc w:val="both"/>
        <w:rPr>
          <w:rFonts w:cstheme="minorHAnsi"/>
        </w:rPr>
      </w:pPr>
      <w:r>
        <w:rPr>
          <w:rFonts w:cstheme="minorHAnsi"/>
        </w:rPr>
        <w:t>Mail : 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3040CECB" w14:textId="77777777" w:rsidR="004A1B95" w:rsidRDefault="004A1B95" w:rsidP="005371C9">
      <w:pPr>
        <w:jc w:val="both"/>
        <w:rPr>
          <w:rFonts w:cstheme="minorHAnsi"/>
        </w:rPr>
      </w:pPr>
      <w:r>
        <w:rPr>
          <w:rFonts w:cstheme="minorHAnsi"/>
        </w:rPr>
        <w:t>Téléphone : ………………………………………………………………………………………………………………………………………….</w:t>
      </w:r>
    </w:p>
    <w:p w14:paraId="414A10CC" w14:textId="77777777" w:rsidR="005D2261" w:rsidRPr="00ED69C2" w:rsidRDefault="005D2261" w:rsidP="005371C9">
      <w:pPr>
        <w:jc w:val="both"/>
        <w:rPr>
          <w:rFonts w:cstheme="minorHAnsi"/>
          <w:b/>
          <w:bCs/>
        </w:rPr>
      </w:pPr>
      <w:r w:rsidRPr="00ED69C2">
        <w:rPr>
          <w:rFonts w:cstheme="minorHAnsi"/>
          <w:b/>
          <w:bCs/>
        </w:rPr>
        <w:t xml:space="preserve">Il est convenu ce qui suit : </w:t>
      </w:r>
    </w:p>
    <w:p w14:paraId="51732DC9" w14:textId="77777777" w:rsidR="005D2261" w:rsidRPr="0028639D" w:rsidRDefault="005D2261" w:rsidP="005371C9">
      <w:pPr>
        <w:jc w:val="both"/>
        <w:rPr>
          <w:rFonts w:cstheme="minorHAnsi"/>
          <w:b/>
          <w:bCs/>
          <w:sz w:val="24"/>
          <w:szCs w:val="24"/>
        </w:rPr>
      </w:pPr>
      <w:r w:rsidRPr="0028639D">
        <w:rPr>
          <w:rFonts w:cstheme="minorHAnsi"/>
          <w:b/>
          <w:bCs/>
          <w:sz w:val="24"/>
          <w:szCs w:val="24"/>
        </w:rPr>
        <w:t xml:space="preserve">Article 1 : Objet du contrat </w:t>
      </w:r>
    </w:p>
    <w:p w14:paraId="4AB06364" w14:textId="77777777" w:rsidR="005D2261" w:rsidRDefault="005D2261" w:rsidP="005371C9">
      <w:pPr>
        <w:jc w:val="both"/>
        <w:rPr>
          <w:rFonts w:cstheme="minorHAnsi"/>
        </w:rPr>
      </w:pPr>
      <w:r>
        <w:rPr>
          <w:rFonts w:cstheme="minorHAnsi"/>
        </w:rPr>
        <w:t xml:space="preserve">La présente convention a pour objet de définir les modalités de mise à disposition du broyeur à végétaux aux communes. </w:t>
      </w:r>
    </w:p>
    <w:p w14:paraId="6BE1D854" w14:textId="77777777" w:rsidR="00ED69C2" w:rsidRDefault="005D2261" w:rsidP="005371C9">
      <w:pPr>
        <w:jc w:val="both"/>
        <w:rPr>
          <w:rFonts w:cstheme="minorHAnsi"/>
          <w:b/>
          <w:bCs/>
          <w:sz w:val="24"/>
          <w:szCs w:val="24"/>
        </w:rPr>
      </w:pPr>
      <w:r w:rsidRPr="00ED69C2">
        <w:rPr>
          <w:rFonts w:cstheme="minorHAnsi"/>
          <w:b/>
          <w:bCs/>
          <w:sz w:val="24"/>
          <w:szCs w:val="24"/>
        </w:rPr>
        <w:t xml:space="preserve">Article 2 : Modalités de la demande </w:t>
      </w:r>
    </w:p>
    <w:p w14:paraId="52350906" w14:textId="77777777" w:rsidR="005D2261" w:rsidRDefault="005D2261" w:rsidP="005371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service de mise à disposition du broyeur s’adresse aux communes « l’emprunteur ». </w:t>
      </w:r>
    </w:p>
    <w:p w14:paraId="57A8046B" w14:textId="35C1AF76" w:rsidR="005D2261" w:rsidRPr="007B7688" w:rsidRDefault="005D2261" w:rsidP="005371C9">
      <w:pPr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L’emprunteur s’engage à respecter les conditions d’utilisation et de sécurité </w:t>
      </w:r>
      <w:r w:rsidRPr="005371C9">
        <w:rPr>
          <w:rFonts w:cstheme="minorHAnsi"/>
          <w:sz w:val="24"/>
          <w:szCs w:val="24"/>
        </w:rPr>
        <w:t xml:space="preserve">décrites </w:t>
      </w:r>
      <w:r w:rsidR="007B7688" w:rsidRPr="005371C9">
        <w:rPr>
          <w:rFonts w:cstheme="minorHAnsi"/>
          <w:sz w:val="24"/>
          <w:szCs w:val="24"/>
        </w:rPr>
        <w:t>sur les documents remis en mains propres lors de la prise du broyeur</w:t>
      </w:r>
      <w:r w:rsidR="007B7688" w:rsidRPr="007B7688">
        <w:rPr>
          <w:rFonts w:cstheme="minorHAnsi"/>
          <w:b/>
          <w:bCs/>
          <w:color w:val="0070C0"/>
          <w:sz w:val="28"/>
          <w:szCs w:val="28"/>
        </w:rPr>
        <w:t>.</w:t>
      </w:r>
      <w:r w:rsidR="007B7688">
        <w:rPr>
          <w:rFonts w:cstheme="minorHAnsi"/>
          <w:sz w:val="24"/>
          <w:szCs w:val="24"/>
        </w:rPr>
        <w:t xml:space="preserve"> </w:t>
      </w:r>
    </w:p>
    <w:p w14:paraId="63BE6385" w14:textId="77777777" w:rsidR="005D2261" w:rsidRDefault="005D2261" w:rsidP="005371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L’emprunt donne lieu à une réservation préalable au SICTOM par téléphone (du lundi au vendredi : de 8h-12h et de 13h – 16h)</w:t>
      </w:r>
      <w:r w:rsidR="004505ED">
        <w:rPr>
          <w:rFonts w:cstheme="minorHAnsi"/>
          <w:sz w:val="24"/>
          <w:szCs w:val="24"/>
        </w:rPr>
        <w:t>.</w:t>
      </w:r>
    </w:p>
    <w:p w14:paraId="19FCDFAD" w14:textId="77777777" w:rsidR="005D2261" w:rsidRDefault="00ED69C2" w:rsidP="005371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retrait et la remise du </w:t>
      </w:r>
      <w:r w:rsidR="005D2261">
        <w:rPr>
          <w:rFonts w:cstheme="minorHAnsi"/>
          <w:sz w:val="24"/>
          <w:szCs w:val="24"/>
        </w:rPr>
        <w:t xml:space="preserve">broyeur </w:t>
      </w:r>
      <w:r>
        <w:rPr>
          <w:rFonts w:cstheme="minorHAnsi"/>
          <w:sz w:val="24"/>
          <w:szCs w:val="24"/>
        </w:rPr>
        <w:t>a lieu</w:t>
      </w:r>
      <w:r w:rsidR="00E6396B">
        <w:rPr>
          <w:rFonts w:cstheme="minorHAnsi"/>
          <w:sz w:val="24"/>
          <w:szCs w:val="24"/>
        </w:rPr>
        <w:t xml:space="preserve"> au SICTOM – 22, allée du Bois à Brevans – du lundi au vendredi de 8h – 12h</w:t>
      </w:r>
      <w:r w:rsidR="004505ED">
        <w:rPr>
          <w:rFonts w:cstheme="minorHAnsi"/>
          <w:sz w:val="24"/>
          <w:szCs w:val="24"/>
        </w:rPr>
        <w:t>.</w:t>
      </w:r>
    </w:p>
    <w:p w14:paraId="151DBB14" w14:textId="77777777" w:rsidR="00ED69C2" w:rsidRPr="00AF4869" w:rsidRDefault="00ED69C2" w:rsidP="005371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broyeur sera remis à l’emprunteur </w:t>
      </w:r>
      <w:r w:rsidR="0028639D">
        <w:rPr>
          <w:rFonts w:cstheme="minorHAnsi"/>
          <w:sz w:val="24"/>
          <w:szCs w:val="24"/>
        </w:rPr>
        <w:t xml:space="preserve">après signature de la présente convention. </w:t>
      </w:r>
    </w:p>
    <w:p w14:paraId="309EAFD4" w14:textId="77777777" w:rsidR="00915799" w:rsidRDefault="0028639D" w:rsidP="005371C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Article 3 : obligations de l’emprunteur </w:t>
      </w:r>
    </w:p>
    <w:p w14:paraId="52CC2F62" w14:textId="77777777" w:rsidR="0028639D" w:rsidRDefault="00195426" w:rsidP="005371C9">
      <w:pPr>
        <w:jc w:val="both"/>
        <w:rPr>
          <w:rFonts w:cstheme="minorHAnsi"/>
          <w:sz w:val="24"/>
          <w:szCs w:val="24"/>
        </w:rPr>
      </w:pPr>
      <w:r w:rsidRPr="00195426">
        <w:rPr>
          <w:rFonts w:cstheme="minorHAnsi"/>
          <w:sz w:val="24"/>
          <w:szCs w:val="24"/>
        </w:rPr>
        <w:t>Pendant la période où le broyeur et ses accessoires sont sous sa gar</w:t>
      </w:r>
      <w:r w:rsidR="008F2659">
        <w:rPr>
          <w:rFonts w:cstheme="minorHAnsi"/>
          <w:sz w:val="24"/>
          <w:szCs w:val="24"/>
        </w:rPr>
        <w:t>d</w:t>
      </w:r>
      <w:r w:rsidRPr="00195426">
        <w:rPr>
          <w:rFonts w:cstheme="minorHAnsi"/>
          <w:sz w:val="24"/>
          <w:szCs w:val="24"/>
        </w:rPr>
        <w:t xml:space="preserve">e (du retrait à la remise), l’emprunteur est tenu de : </w:t>
      </w:r>
    </w:p>
    <w:p w14:paraId="7E42947F" w14:textId="77777777" w:rsidR="008F2659" w:rsidRDefault="008F2659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Utiliser le broyeur sur la commune concernée</w:t>
      </w:r>
    </w:p>
    <w:p w14:paraId="5B47BA6E" w14:textId="0143B2B4" w:rsidR="008F2659" w:rsidRDefault="008F2659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Respecter les consignes d’usage et de sécurité </w:t>
      </w:r>
      <w:r w:rsidR="005371C9">
        <w:rPr>
          <w:rFonts w:cstheme="minorHAnsi"/>
          <w:sz w:val="24"/>
          <w:szCs w:val="24"/>
        </w:rPr>
        <w:t>remises</w:t>
      </w:r>
      <w:r>
        <w:rPr>
          <w:rFonts w:cstheme="minorHAnsi"/>
          <w:sz w:val="24"/>
          <w:szCs w:val="24"/>
        </w:rPr>
        <w:t xml:space="preserve"> </w:t>
      </w:r>
      <w:r w:rsidR="00500954" w:rsidRPr="005371C9">
        <w:rPr>
          <w:rFonts w:cstheme="minorHAnsi"/>
          <w:sz w:val="24"/>
          <w:szCs w:val="24"/>
        </w:rPr>
        <w:t>lors de la pise du broyeur.</w:t>
      </w:r>
      <w:r w:rsidR="003F3FAE" w:rsidRPr="005371C9">
        <w:rPr>
          <w:rFonts w:cstheme="minorHAnsi"/>
          <w:sz w:val="24"/>
          <w:szCs w:val="24"/>
        </w:rPr>
        <w:t xml:space="preserve"> </w:t>
      </w:r>
    </w:p>
    <w:p w14:paraId="69C7F62F" w14:textId="77777777" w:rsidR="008F2659" w:rsidRDefault="008F2659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Restituer le broyeur </w:t>
      </w:r>
      <w:r w:rsidR="002873F3">
        <w:rPr>
          <w:rFonts w:cstheme="minorHAnsi"/>
          <w:sz w:val="24"/>
          <w:szCs w:val="24"/>
        </w:rPr>
        <w:t xml:space="preserve">dans le même état de propreté et de fonctionnement qu’au moment de la remise. </w:t>
      </w:r>
    </w:p>
    <w:p w14:paraId="373C5C51" w14:textId="77777777" w:rsidR="002873F3" w:rsidRPr="009B6972" w:rsidRDefault="002873F3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Assurer la responsabilité du broyeur pendant la durée de l’emprunt (de la remise jusqu’à la restitution) : usage, vol, incendie, accident, </w:t>
      </w:r>
      <w:r w:rsidR="009B6972">
        <w:rPr>
          <w:rFonts w:cstheme="minorHAnsi"/>
          <w:sz w:val="24"/>
          <w:szCs w:val="24"/>
        </w:rPr>
        <w:t>…</w:t>
      </w:r>
      <w:r w:rsidR="009B6972" w:rsidRPr="009B6972">
        <w:rPr>
          <w:rFonts w:eastAsia="Times New Roman"/>
        </w:rPr>
        <w:t xml:space="preserve"> </w:t>
      </w:r>
      <w:r w:rsidR="009B6972">
        <w:rPr>
          <w:rFonts w:eastAsia="Times New Roman"/>
        </w:rPr>
        <w:t>l’emprunteur est tenu de s’assurer sur les risques encourus. Le SICTOM de la Zone de Dole se dégage de toute responsabilité du fait d'accident survenu pendant la durée du prêt</w:t>
      </w:r>
    </w:p>
    <w:p w14:paraId="21AE50D7" w14:textId="77777777" w:rsidR="009B6972" w:rsidRDefault="009B6972" w:rsidP="005371C9">
      <w:pPr>
        <w:pStyle w:val="Paragraphedeliste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A</w:t>
      </w:r>
      <w:r w:rsidRPr="009B6972">
        <w:rPr>
          <w:rFonts w:eastAsia="Times New Roman"/>
        </w:rPr>
        <w:t>ssure</w:t>
      </w:r>
      <w:r>
        <w:rPr>
          <w:rFonts w:eastAsia="Times New Roman"/>
        </w:rPr>
        <w:t>r</w:t>
      </w:r>
      <w:r w:rsidRPr="009B6972">
        <w:rPr>
          <w:rFonts w:eastAsia="Times New Roman"/>
        </w:rPr>
        <w:t xml:space="preserve"> la charge et la responsabilité du transport, il reconnaît être apte à se servir du matériel prêté.</w:t>
      </w:r>
    </w:p>
    <w:p w14:paraId="37601189" w14:textId="77777777" w:rsidR="009B6972" w:rsidRDefault="009B6972" w:rsidP="005371C9">
      <w:pPr>
        <w:pStyle w:val="Paragraphedeliste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A</w:t>
      </w:r>
      <w:r w:rsidRPr="009B6972">
        <w:rPr>
          <w:rFonts w:eastAsia="Times New Roman"/>
        </w:rPr>
        <w:t xml:space="preserve">vertir le SICTOM de la Zone de Dole </w:t>
      </w:r>
      <w:r>
        <w:rPr>
          <w:rFonts w:eastAsia="Times New Roman"/>
        </w:rPr>
        <w:t xml:space="preserve">en cas de panne et ne </w:t>
      </w:r>
      <w:r w:rsidRPr="009B6972">
        <w:rPr>
          <w:rFonts w:eastAsia="Times New Roman"/>
        </w:rPr>
        <w:t>pas réparer le broyeur.</w:t>
      </w:r>
    </w:p>
    <w:p w14:paraId="7B8D8EE8" w14:textId="77777777" w:rsidR="009B6972" w:rsidRPr="009B6972" w:rsidRDefault="009B6972" w:rsidP="005371C9">
      <w:pPr>
        <w:pStyle w:val="Paragraphedeliste"/>
        <w:jc w:val="both"/>
        <w:rPr>
          <w:rFonts w:eastAsia="Times New Roman"/>
        </w:rPr>
      </w:pPr>
    </w:p>
    <w:p w14:paraId="05C05913" w14:textId="77777777" w:rsidR="008F2659" w:rsidRDefault="008F2659" w:rsidP="005371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est interdit de : </w:t>
      </w:r>
    </w:p>
    <w:p w14:paraId="3F25E533" w14:textId="77777777" w:rsidR="008F2659" w:rsidRDefault="008F2659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Prêter le broyeur à un particulier</w:t>
      </w:r>
    </w:p>
    <w:p w14:paraId="2BD6BCD0" w14:textId="77777777" w:rsidR="008F2659" w:rsidRDefault="008F2659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Laisser des mineurs utiliser le broyeur</w:t>
      </w:r>
    </w:p>
    <w:p w14:paraId="681645A3" w14:textId="77777777" w:rsidR="008F2659" w:rsidRDefault="008F2659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Laisser le broyeur sans surveillance lorsqu’il est en marche</w:t>
      </w:r>
    </w:p>
    <w:p w14:paraId="397A6265" w14:textId="77777777" w:rsidR="008F2659" w:rsidRDefault="008F2659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Transformer ou démonter le broyeur </w:t>
      </w:r>
    </w:p>
    <w:p w14:paraId="271D90EA" w14:textId="77777777" w:rsidR="008F2659" w:rsidRDefault="008F2659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Procéder à des réparations ou manipulations de quelque nature que ce soit sur le broyeur et ses accessoires</w:t>
      </w:r>
    </w:p>
    <w:p w14:paraId="4B442E26" w14:textId="261256E3" w:rsidR="003F3FAE" w:rsidRPr="005371C9" w:rsidRDefault="003F3FAE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371C9">
        <w:rPr>
          <w:rFonts w:cstheme="minorHAnsi"/>
          <w:sz w:val="24"/>
          <w:szCs w:val="24"/>
        </w:rPr>
        <w:t>Laver le broyeur à haute pression.</w:t>
      </w:r>
    </w:p>
    <w:p w14:paraId="344D1AC7" w14:textId="77777777" w:rsidR="008F2659" w:rsidRPr="008F2659" w:rsidRDefault="008F2659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Effectuer des prestations de broyage chez des tiers </w:t>
      </w:r>
    </w:p>
    <w:p w14:paraId="0D091FDC" w14:textId="77777777" w:rsidR="00195426" w:rsidRPr="009B6972" w:rsidRDefault="00195426" w:rsidP="005371C9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B6972">
        <w:rPr>
          <w:rFonts w:cstheme="minorHAnsi"/>
          <w:sz w:val="24"/>
          <w:szCs w:val="24"/>
        </w:rPr>
        <w:t xml:space="preserve">Utiliser le broyeur sur </w:t>
      </w:r>
      <w:r w:rsidR="009B6972">
        <w:rPr>
          <w:rFonts w:cstheme="minorHAnsi"/>
          <w:sz w:val="24"/>
          <w:szCs w:val="24"/>
        </w:rPr>
        <w:t>une autre</w:t>
      </w:r>
      <w:r w:rsidRPr="009B6972">
        <w:rPr>
          <w:rFonts w:cstheme="minorHAnsi"/>
          <w:sz w:val="24"/>
          <w:szCs w:val="24"/>
        </w:rPr>
        <w:t xml:space="preserve"> commune</w:t>
      </w:r>
      <w:r w:rsidR="009B6972">
        <w:rPr>
          <w:rFonts w:cstheme="minorHAnsi"/>
          <w:sz w:val="24"/>
          <w:szCs w:val="24"/>
        </w:rPr>
        <w:t>, que celle stipulée sur la convention</w:t>
      </w:r>
    </w:p>
    <w:p w14:paraId="3217ED0D" w14:textId="77777777" w:rsidR="009B6972" w:rsidRPr="009B6972" w:rsidRDefault="009B6972" w:rsidP="005371C9">
      <w:pPr>
        <w:jc w:val="both"/>
        <w:rPr>
          <w:rFonts w:eastAsia="Times New Roman"/>
          <w:b/>
          <w:bCs/>
        </w:rPr>
      </w:pPr>
      <w:r w:rsidRPr="009B6972">
        <w:rPr>
          <w:rFonts w:eastAsia="Times New Roman"/>
          <w:b/>
          <w:bCs/>
        </w:rPr>
        <w:t xml:space="preserve">Article 4 : en cas de dégradation ou de non-restitution du broyeur </w:t>
      </w:r>
    </w:p>
    <w:p w14:paraId="5AEDD30E" w14:textId="77777777" w:rsidR="009B6972" w:rsidRDefault="009B6972" w:rsidP="005371C9">
      <w:pPr>
        <w:jc w:val="both"/>
        <w:rPr>
          <w:rFonts w:eastAsia="Times New Roman"/>
        </w:rPr>
      </w:pPr>
      <w:r>
        <w:rPr>
          <w:rFonts w:eastAsia="Times New Roman"/>
        </w:rPr>
        <w:t>Il convient de rappeler que la valeur du b</w:t>
      </w:r>
      <w:r w:rsidR="008210BD">
        <w:rPr>
          <w:rFonts w:eastAsia="Times New Roman"/>
        </w:rPr>
        <w:t>royeur</w:t>
      </w:r>
      <w:r>
        <w:rPr>
          <w:rFonts w:eastAsia="Times New Roman"/>
        </w:rPr>
        <w:t xml:space="preserve"> est de </w:t>
      </w:r>
      <w:r w:rsidR="008210BD">
        <w:rPr>
          <w:rFonts w:eastAsia="Times New Roman"/>
        </w:rPr>
        <w:t xml:space="preserve">25 000€ TTC et l’année d’acquisition est 2025. </w:t>
      </w:r>
    </w:p>
    <w:p w14:paraId="70C696ED" w14:textId="77777777" w:rsidR="008210BD" w:rsidRDefault="008210BD" w:rsidP="005371C9">
      <w:pPr>
        <w:jc w:val="both"/>
        <w:rPr>
          <w:rFonts w:eastAsia="Times New Roman"/>
        </w:rPr>
      </w:pPr>
      <w:r>
        <w:rPr>
          <w:rFonts w:eastAsia="Times New Roman"/>
        </w:rPr>
        <w:t xml:space="preserve">En cas de dégradation, le SICTOM fera établir des devis relatifs au coût des réparations, avec prise en charge par l’emprunteur (la commune). </w:t>
      </w:r>
    </w:p>
    <w:p w14:paraId="28BF9CDD" w14:textId="514D3211" w:rsidR="008210BD" w:rsidRDefault="008210BD" w:rsidP="005371C9">
      <w:pPr>
        <w:jc w:val="both"/>
        <w:rPr>
          <w:rFonts w:eastAsia="Times New Roman"/>
        </w:rPr>
      </w:pPr>
      <w:r>
        <w:rPr>
          <w:rFonts w:eastAsia="Times New Roman"/>
        </w:rPr>
        <w:t xml:space="preserve">En cas de non-restitution, il sera facturé à la commune la valeur vénale du bien. </w:t>
      </w:r>
    </w:p>
    <w:p w14:paraId="59F18135" w14:textId="77777777" w:rsidR="008210BD" w:rsidRDefault="008210BD" w:rsidP="005371C9">
      <w:pPr>
        <w:jc w:val="both"/>
        <w:rPr>
          <w:rFonts w:eastAsia="Times New Roman"/>
        </w:rPr>
      </w:pPr>
    </w:p>
    <w:p w14:paraId="259471BD" w14:textId="3826F968" w:rsidR="00A66613" w:rsidRPr="005371C9" w:rsidRDefault="005371C9" w:rsidP="005371C9">
      <w:pPr>
        <w:jc w:val="both"/>
        <w:rPr>
          <w:rFonts w:eastAsia="Times New Roman"/>
          <w:b/>
          <w:bCs/>
        </w:rPr>
      </w:pPr>
      <w:r w:rsidRPr="005371C9">
        <w:rPr>
          <w:rFonts w:eastAsia="Times New Roman"/>
          <w:b/>
          <w:bCs/>
        </w:rPr>
        <w:lastRenderedPageBreak/>
        <w:t>Article 5 : c</w:t>
      </w:r>
      <w:r w:rsidR="00A66613" w:rsidRPr="005371C9">
        <w:rPr>
          <w:rFonts w:eastAsia="Times New Roman"/>
          <w:b/>
          <w:bCs/>
        </w:rPr>
        <w:t>onsignes d'utilisation et d'entretie</w:t>
      </w:r>
      <w:r w:rsidRPr="005371C9">
        <w:rPr>
          <w:rFonts w:eastAsia="Times New Roman"/>
          <w:b/>
          <w:bCs/>
        </w:rPr>
        <w:t>n</w:t>
      </w:r>
    </w:p>
    <w:p w14:paraId="7A329C3A" w14:textId="77777777" w:rsidR="00A66613" w:rsidRPr="005371C9" w:rsidRDefault="00A66613" w:rsidP="005371C9">
      <w:pPr>
        <w:jc w:val="both"/>
        <w:rPr>
          <w:rFonts w:eastAsia="Times New Roman"/>
        </w:rPr>
      </w:pPr>
      <w:r w:rsidRPr="005371C9">
        <w:rPr>
          <w:rFonts w:eastAsia="Times New Roman"/>
        </w:rPr>
        <w:t>Utilisation :</w:t>
      </w:r>
    </w:p>
    <w:p w14:paraId="02A04766" w14:textId="549D3CF2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>Le matériel prêté ne peut faire l'objet d'aucune opération de transformation et de démontage.</w:t>
      </w:r>
    </w:p>
    <w:p w14:paraId="59DFBDF0" w14:textId="18399EA1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>Le matériel devra être utilisé pour l'usage auquel il est destiné en respectant les performances techniques indiquées par le fabricant</w:t>
      </w:r>
    </w:p>
    <w:p w14:paraId="77868EA2" w14:textId="77777777" w:rsidR="00A66613" w:rsidRPr="00A66613" w:rsidRDefault="00A66613" w:rsidP="005371C9">
      <w:pPr>
        <w:pStyle w:val="Paragraphedeliste"/>
        <w:numPr>
          <w:ilvl w:val="0"/>
          <w:numId w:val="1"/>
        </w:numPr>
        <w:jc w:val="both"/>
        <w:rPr>
          <w:rFonts w:eastAsia="Times New Roman"/>
        </w:rPr>
      </w:pPr>
      <w:r w:rsidRPr="00A66613">
        <w:rPr>
          <w:rFonts w:eastAsia="Times New Roman"/>
        </w:rPr>
        <w:t>Le terrain Le broyeur ne peut être utilisé à l'intérieur d'un bâtiment, son utilisation doit se faire sur un terrain stable et sécurisé</w:t>
      </w:r>
    </w:p>
    <w:p w14:paraId="001AC3A8" w14:textId="77777777" w:rsidR="00A66613" w:rsidRPr="005371C9" w:rsidRDefault="00A66613" w:rsidP="005371C9">
      <w:pPr>
        <w:pStyle w:val="Paragraphedeliste"/>
        <w:numPr>
          <w:ilvl w:val="0"/>
          <w:numId w:val="1"/>
        </w:numPr>
        <w:jc w:val="both"/>
        <w:rPr>
          <w:rFonts w:eastAsia="Times New Roman"/>
        </w:rPr>
      </w:pPr>
      <w:r w:rsidRPr="00A66613">
        <w:rPr>
          <w:rFonts w:eastAsia="Times New Roman"/>
        </w:rPr>
        <w:t xml:space="preserve">La capacité de broyage Le diamètre des branches à broyer ne doit pas excéder </w:t>
      </w:r>
      <w:r w:rsidR="007B7688" w:rsidRPr="005371C9">
        <w:rPr>
          <w:rFonts w:eastAsia="Times New Roman"/>
        </w:rPr>
        <w:t>10</w:t>
      </w:r>
      <w:r w:rsidRPr="005371C9">
        <w:rPr>
          <w:rFonts w:eastAsia="Times New Roman"/>
        </w:rPr>
        <w:t xml:space="preserve"> cm</w:t>
      </w:r>
    </w:p>
    <w:p w14:paraId="1DD0BF9A" w14:textId="77777777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 xml:space="preserve">Si les branches présentent des fourches, l'écart ne doit pas excéder 8 cm. </w:t>
      </w:r>
    </w:p>
    <w:p w14:paraId="4FE25685" w14:textId="57129286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>Déchets interdits</w:t>
      </w:r>
      <w:r w:rsidR="005371C9">
        <w:rPr>
          <w:rFonts w:eastAsia="Times New Roman"/>
        </w:rPr>
        <w:t> :</w:t>
      </w:r>
      <w:r>
        <w:rPr>
          <w:rFonts w:eastAsia="Times New Roman"/>
        </w:rPr>
        <w:t xml:space="preserve"> les feuilles, tontes et les autres déchets qui ne sont pas des branches et végétaux</w:t>
      </w:r>
    </w:p>
    <w:p w14:paraId="6D5C1B12" w14:textId="77777777" w:rsidR="00A66613" w:rsidRPr="005371C9" w:rsidRDefault="00A66613" w:rsidP="005371C9">
      <w:pPr>
        <w:jc w:val="both"/>
        <w:rPr>
          <w:rFonts w:eastAsia="Times New Roman"/>
        </w:rPr>
      </w:pPr>
      <w:r w:rsidRPr="005371C9">
        <w:rPr>
          <w:rFonts w:eastAsia="Times New Roman"/>
        </w:rPr>
        <w:t>Entretien</w:t>
      </w:r>
      <w:r w:rsidR="00BA282C" w:rsidRPr="005371C9">
        <w:rPr>
          <w:rFonts w:eastAsia="Times New Roman"/>
        </w:rPr>
        <w:t xml:space="preserve"> </w:t>
      </w:r>
      <w:r w:rsidRPr="005371C9">
        <w:rPr>
          <w:rFonts w:eastAsia="Times New Roman"/>
        </w:rPr>
        <w:t>:</w:t>
      </w:r>
    </w:p>
    <w:p w14:paraId="01877BAD" w14:textId="343620B5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>Le matériel est livré en parfait état de marche et de propreté avec le réservoir plein et celui-ci de</w:t>
      </w:r>
      <w:r w:rsidR="00BA282C">
        <w:rPr>
          <w:rFonts w:eastAsia="Times New Roman"/>
        </w:rPr>
        <w:t>v</w:t>
      </w:r>
      <w:r>
        <w:rPr>
          <w:rFonts w:eastAsia="Times New Roman"/>
        </w:rPr>
        <w:t>ra être restitué ainsi.</w:t>
      </w:r>
    </w:p>
    <w:p w14:paraId="45A05252" w14:textId="58B2B740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 xml:space="preserve">Attention, TOUTE OPERATION DE NETTOYAGE DOIT SE FAIRE </w:t>
      </w:r>
      <w:r w:rsidR="005371C9" w:rsidRPr="005371C9">
        <w:rPr>
          <w:rFonts w:eastAsia="Times New Roman"/>
        </w:rPr>
        <w:t xml:space="preserve">SUR LE BROYEUR ETEINT </w:t>
      </w:r>
    </w:p>
    <w:p w14:paraId="3282EFA7" w14:textId="59B9A3F7" w:rsidR="00A66613" w:rsidRDefault="005371C9" w:rsidP="005371C9">
      <w:pPr>
        <w:jc w:val="both"/>
        <w:rPr>
          <w:rFonts w:eastAsia="Times New Roman"/>
        </w:rPr>
      </w:pPr>
      <w:r>
        <w:rPr>
          <w:rFonts w:eastAsia="Times New Roman"/>
        </w:rPr>
        <w:t>Pour f</w:t>
      </w:r>
      <w:r w:rsidR="00A66613">
        <w:rPr>
          <w:rFonts w:eastAsia="Times New Roman"/>
        </w:rPr>
        <w:t>aire le plein</w:t>
      </w:r>
      <w:r w:rsidR="00BA282C">
        <w:rPr>
          <w:rFonts w:eastAsia="Times New Roman"/>
        </w:rPr>
        <w:t xml:space="preserve"> </w:t>
      </w:r>
      <w:r w:rsidR="00A66613">
        <w:rPr>
          <w:rFonts w:eastAsia="Times New Roman"/>
        </w:rPr>
        <w:t xml:space="preserve">: </w:t>
      </w:r>
      <w:r>
        <w:rPr>
          <w:rFonts w:eastAsia="Times New Roman"/>
        </w:rPr>
        <w:t>u</w:t>
      </w:r>
      <w:r w:rsidR="00A66613">
        <w:rPr>
          <w:rFonts w:eastAsia="Times New Roman"/>
        </w:rPr>
        <w:t>tiliser de l'essence sans plomb 95</w:t>
      </w:r>
      <w:r w:rsidR="007B7688">
        <w:rPr>
          <w:rFonts w:eastAsia="Times New Roman"/>
        </w:rPr>
        <w:t xml:space="preserve"> et</w:t>
      </w:r>
      <w:r w:rsidR="007B7688" w:rsidRPr="005371C9">
        <w:rPr>
          <w:rFonts w:eastAsia="Times New Roman"/>
        </w:rPr>
        <w:t>/ou 98</w:t>
      </w:r>
      <w:r w:rsidR="00A66613">
        <w:rPr>
          <w:rFonts w:eastAsia="Times New Roman"/>
        </w:rPr>
        <w:t xml:space="preserve">. </w:t>
      </w:r>
      <w:r w:rsidR="00BA282C">
        <w:rPr>
          <w:rFonts w:eastAsia="Times New Roman"/>
        </w:rPr>
        <w:t>Être</w:t>
      </w:r>
      <w:r w:rsidR="00A66613">
        <w:rPr>
          <w:rFonts w:eastAsia="Times New Roman"/>
        </w:rPr>
        <w:t xml:space="preserve"> à l'extérieur pour faire le plein.</w:t>
      </w:r>
    </w:p>
    <w:p w14:paraId="3B54F48C" w14:textId="77777777" w:rsidR="00A66613" w:rsidRPr="005371C9" w:rsidRDefault="00A66613" w:rsidP="005371C9">
      <w:pPr>
        <w:jc w:val="both"/>
        <w:rPr>
          <w:rFonts w:eastAsia="Times New Roman"/>
        </w:rPr>
      </w:pPr>
      <w:r w:rsidRPr="005371C9">
        <w:rPr>
          <w:rFonts w:eastAsia="Times New Roman"/>
        </w:rPr>
        <w:t>Transport</w:t>
      </w:r>
      <w:r w:rsidR="00BA282C" w:rsidRPr="005371C9">
        <w:rPr>
          <w:rFonts w:eastAsia="Times New Roman"/>
        </w:rPr>
        <w:t xml:space="preserve"> </w:t>
      </w:r>
      <w:r w:rsidRPr="005371C9">
        <w:rPr>
          <w:rFonts w:eastAsia="Times New Roman"/>
        </w:rPr>
        <w:t>:</w:t>
      </w:r>
    </w:p>
    <w:p w14:paraId="4536667E" w14:textId="166173A2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>Lors du transport du broyeur, le robinet de coupure du carburant doit être en position FERMEE</w:t>
      </w:r>
      <w:r w:rsidR="00AF4869">
        <w:rPr>
          <w:rFonts w:eastAsia="Times New Roman"/>
        </w:rPr>
        <w:t>.</w:t>
      </w:r>
      <w:r w:rsidR="00CE13F6">
        <w:rPr>
          <w:rFonts w:eastAsia="Times New Roman"/>
        </w:rPr>
        <w:t xml:space="preserve"> </w:t>
      </w:r>
      <w:r w:rsidR="00CE13F6" w:rsidRPr="005371C9">
        <w:rPr>
          <w:rFonts w:eastAsia="Times New Roman"/>
        </w:rPr>
        <w:t>Remettre la goulotte de sortie de broyat en position transport.</w:t>
      </w:r>
      <w:r w:rsidR="00500954" w:rsidRPr="005371C9">
        <w:rPr>
          <w:rFonts w:eastAsia="Times New Roman"/>
        </w:rPr>
        <w:t xml:space="preserve"> </w:t>
      </w:r>
      <w:r w:rsidR="003F3FAE" w:rsidRPr="005371C9">
        <w:rPr>
          <w:rFonts w:eastAsia="Times New Roman"/>
        </w:rPr>
        <w:t>Retirer la clef noire du moteur et la clef rouge du coupe batterie. Ne surtout pas rouler avec la roue jocke</w:t>
      </w:r>
      <w:r w:rsidR="004218A1" w:rsidRPr="005371C9">
        <w:rPr>
          <w:rFonts w:eastAsia="Times New Roman"/>
        </w:rPr>
        <w:t>y</w:t>
      </w:r>
      <w:r w:rsidR="003F3FAE" w:rsidRPr="005371C9">
        <w:rPr>
          <w:rFonts w:eastAsia="Times New Roman"/>
        </w:rPr>
        <w:t>.</w:t>
      </w:r>
    </w:p>
    <w:p w14:paraId="446BF4FC" w14:textId="2A1C2791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>L'</w:t>
      </w:r>
      <w:r w:rsidR="005371C9">
        <w:rPr>
          <w:rFonts w:eastAsia="Times New Roman"/>
        </w:rPr>
        <w:t>emprunteur</w:t>
      </w:r>
      <w:r>
        <w:rPr>
          <w:rFonts w:eastAsia="Times New Roman"/>
        </w:rPr>
        <w:t xml:space="preserve"> prendra soin de lire attentivement la notice d'utilisation fournie avec le broyeur. II utilisera le casque anti-bruit et les lunettes de protection mis à disposition avec le matériel, ainsi que des gants de protection (non fournis). Ces outils seront à remettre avec le broyeur après utilisation.</w:t>
      </w:r>
    </w:p>
    <w:p w14:paraId="7CA24DD2" w14:textId="29E5CB7A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 xml:space="preserve">Le prêt </w:t>
      </w:r>
      <w:r w:rsidR="00BA282C">
        <w:rPr>
          <w:rFonts w:eastAsia="Times New Roman"/>
        </w:rPr>
        <w:t>d</w:t>
      </w:r>
      <w:r>
        <w:rPr>
          <w:rFonts w:eastAsia="Times New Roman"/>
        </w:rPr>
        <w:t xml:space="preserve">u broyeur entre dans le cadre du programme local de prévention des déchets. Le broyat est </w:t>
      </w:r>
      <w:r w:rsidR="005371C9">
        <w:rPr>
          <w:rFonts w:eastAsia="Times New Roman"/>
        </w:rPr>
        <w:t>mis à disposition des communes et des usagers</w:t>
      </w:r>
      <w:r>
        <w:rPr>
          <w:rFonts w:eastAsia="Times New Roman"/>
        </w:rPr>
        <w:t>, pou</w:t>
      </w:r>
      <w:r w:rsidR="005371C9">
        <w:rPr>
          <w:rFonts w:eastAsia="Times New Roman"/>
        </w:rPr>
        <w:t>r</w:t>
      </w:r>
      <w:r>
        <w:rPr>
          <w:rFonts w:eastAsia="Times New Roman"/>
        </w:rPr>
        <w:t xml:space="preserve"> être utilisé pour le paillage ou le compostage, diminuant ainsi le volume apporté en déchèterie.</w:t>
      </w:r>
    </w:p>
    <w:p w14:paraId="79906F2A" w14:textId="77777777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>L'emprunteur déclare avoir pris connaissance des conditions de prêt et les accepter sans aucune</w:t>
      </w:r>
      <w:r w:rsidR="00BA282C">
        <w:rPr>
          <w:rFonts w:eastAsia="Times New Roman"/>
        </w:rPr>
        <w:t xml:space="preserve"> </w:t>
      </w:r>
      <w:r>
        <w:rPr>
          <w:rFonts w:eastAsia="Times New Roman"/>
        </w:rPr>
        <w:t>exception ni réserve.</w:t>
      </w:r>
    </w:p>
    <w:p w14:paraId="12611A1C" w14:textId="77777777" w:rsidR="005371C9" w:rsidRDefault="005371C9" w:rsidP="005371C9">
      <w:pPr>
        <w:jc w:val="both"/>
        <w:rPr>
          <w:rFonts w:eastAsia="Times New Roman"/>
        </w:rPr>
      </w:pPr>
    </w:p>
    <w:p w14:paraId="3482DC45" w14:textId="2D6536BB" w:rsidR="00A66613" w:rsidRDefault="00A66613" w:rsidP="005371C9">
      <w:pPr>
        <w:jc w:val="both"/>
        <w:rPr>
          <w:rFonts w:eastAsia="Times New Roman"/>
        </w:rPr>
      </w:pPr>
      <w:r>
        <w:rPr>
          <w:rFonts w:eastAsia="Times New Roman"/>
        </w:rPr>
        <w:t xml:space="preserve">Fait en </w:t>
      </w:r>
      <w:r w:rsidR="008210BD">
        <w:rPr>
          <w:rFonts w:eastAsia="Times New Roman"/>
        </w:rPr>
        <w:t>deux</w:t>
      </w:r>
      <w:r>
        <w:rPr>
          <w:rFonts w:eastAsia="Times New Roman"/>
        </w:rPr>
        <w:t xml:space="preserve"> exemplaire</w:t>
      </w:r>
      <w:r w:rsidR="008210BD">
        <w:rPr>
          <w:rFonts w:eastAsia="Times New Roman"/>
        </w:rPr>
        <w:t>s</w:t>
      </w:r>
      <w:r>
        <w:rPr>
          <w:rFonts w:eastAsia="Times New Roman"/>
        </w:rPr>
        <w:t>,</w:t>
      </w:r>
    </w:p>
    <w:p w14:paraId="1B490CA6" w14:textId="77777777" w:rsidR="00A66613" w:rsidRDefault="00BA282C" w:rsidP="005371C9">
      <w:pPr>
        <w:jc w:val="both"/>
        <w:rPr>
          <w:rFonts w:eastAsia="Times New Roman"/>
          <w:i/>
          <w:iCs/>
          <w:sz w:val="18"/>
          <w:szCs w:val="18"/>
        </w:rPr>
      </w:pPr>
      <w:r w:rsidRPr="00AF4869">
        <w:rPr>
          <w:rFonts w:eastAsia="Times New Roman"/>
          <w:i/>
          <w:iCs/>
          <w:sz w:val="18"/>
          <w:szCs w:val="18"/>
        </w:rPr>
        <w:t>Faire</w:t>
      </w:r>
      <w:r w:rsidR="00A66613" w:rsidRPr="00AF4869">
        <w:rPr>
          <w:rFonts w:eastAsia="Times New Roman"/>
          <w:i/>
          <w:iCs/>
          <w:sz w:val="18"/>
          <w:szCs w:val="18"/>
        </w:rPr>
        <w:t xml:space="preserve"> précéder la signature de la mention manuscrite </w:t>
      </w:r>
      <w:r w:rsidRPr="00AF4869">
        <w:rPr>
          <w:rFonts w:eastAsia="Times New Roman"/>
          <w:i/>
          <w:iCs/>
          <w:sz w:val="18"/>
          <w:szCs w:val="18"/>
        </w:rPr>
        <w:t>« </w:t>
      </w:r>
      <w:r w:rsidR="00A66613" w:rsidRPr="00AF4869">
        <w:rPr>
          <w:rFonts w:eastAsia="Times New Roman"/>
          <w:i/>
          <w:iCs/>
          <w:sz w:val="18"/>
          <w:szCs w:val="18"/>
        </w:rPr>
        <w:t>Lu et Approuvé</w:t>
      </w:r>
      <w:r w:rsidRPr="00AF4869">
        <w:rPr>
          <w:rFonts w:eastAsia="Times New Roman"/>
          <w:i/>
          <w:iCs/>
          <w:sz w:val="18"/>
          <w:szCs w:val="18"/>
        </w:rPr>
        <w:t xml:space="preserve"> -</w:t>
      </w:r>
      <w:r w:rsidR="00A66613" w:rsidRPr="00AF4869">
        <w:rPr>
          <w:rFonts w:eastAsia="Times New Roman"/>
          <w:i/>
          <w:iCs/>
          <w:sz w:val="18"/>
          <w:szCs w:val="18"/>
        </w:rPr>
        <w:t xml:space="preserve"> Bon pour accord</w:t>
      </w:r>
      <w:r w:rsidRPr="00AF4869">
        <w:rPr>
          <w:rFonts w:eastAsia="Times New Roman"/>
          <w:i/>
          <w:iCs/>
          <w:sz w:val="18"/>
          <w:szCs w:val="18"/>
        </w:rPr>
        <w:t> »</w:t>
      </w:r>
    </w:p>
    <w:p w14:paraId="5C76FE04" w14:textId="77777777" w:rsidR="008210BD" w:rsidRDefault="008210BD" w:rsidP="005371C9">
      <w:pPr>
        <w:jc w:val="both"/>
        <w:rPr>
          <w:rFonts w:eastAsia="Times New Roman"/>
          <w:i/>
          <w:iCs/>
          <w:sz w:val="18"/>
          <w:szCs w:val="18"/>
        </w:rPr>
      </w:pPr>
    </w:p>
    <w:p w14:paraId="5BFBC4C1" w14:textId="77777777" w:rsidR="008210BD" w:rsidRDefault="008210BD" w:rsidP="005371C9">
      <w:pPr>
        <w:jc w:val="both"/>
        <w:rPr>
          <w:rFonts w:eastAsia="Times New Roman"/>
          <w:i/>
          <w:iCs/>
          <w:sz w:val="18"/>
          <w:szCs w:val="18"/>
        </w:rPr>
      </w:pPr>
    </w:p>
    <w:p w14:paraId="00476118" w14:textId="24BE4743" w:rsidR="008210BD" w:rsidRDefault="008210BD" w:rsidP="005371C9">
      <w:pPr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</w:r>
    </w:p>
    <w:p w14:paraId="1ACAC5F7" w14:textId="6ACBFDE2" w:rsidR="009F6A6A" w:rsidRDefault="008210BD" w:rsidP="005371C9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</w:r>
      <w:r w:rsidRPr="008210BD">
        <w:rPr>
          <w:rFonts w:eastAsia="Times New Roman"/>
          <w:sz w:val="18"/>
          <w:szCs w:val="18"/>
        </w:rPr>
        <w:t xml:space="preserve">NOM PRENOM </w:t>
      </w:r>
      <w:r w:rsidR="007416A0">
        <w:rPr>
          <w:rFonts w:eastAsia="Times New Roman"/>
          <w:sz w:val="18"/>
          <w:szCs w:val="18"/>
        </w:rPr>
        <w:t xml:space="preserve">– </w:t>
      </w:r>
    </w:p>
    <w:p w14:paraId="02640376" w14:textId="77777777" w:rsidR="007416A0" w:rsidRDefault="007416A0" w:rsidP="005371C9">
      <w:pPr>
        <w:jc w:val="both"/>
        <w:rPr>
          <w:rFonts w:eastAsia="Times New Roman"/>
          <w:noProof/>
          <w:sz w:val="20"/>
          <w:szCs w:val="20"/>
        </w:rPr>
      </w:pPr>
    </w:p>
    <w:p w14:paraId="04F21282" w14:textId="77777777" w:rsidR="007416A0" w:rsidRPr="00AF4869" w:rsidRDefault="007416A0" w:rsidP="005371C9">
      <w:pPr>
        <w:jc w:val="both"/>
        <w:rPr>
          <w:rFonts w:eastAsia="Times New Roman"/>
          <w:sz w:val="20"/>
          <w:szCs w:val="20"/>
        </w:rPr>
      </w:pPr>
    </w:p>
    <w:sectPr w:rsidR="007416A0" w:rsidRPr="00AF48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9DE9" w14:textId="77777777" w:rsidR="000E6E11" w:rsidRDefault="000E6E11" w:rsidP="00AF4869">
      <w:pPr>
        <w:spacing w:after="0" w:line="240" w:lineRule="auto"/>
      </w:pPr>
      <w:r>
        <w:separator/>
      </w:r>
    </w:p>
  </w:endnote>
  <w:endnote w:type="continuationSeparator" w:id="0">
    <w:p w14:paraId="0145F573" w14:textId="77777777" w:rsidR="000E6E11" w:rsidRDefault="000E6E11" w:rsidP="00AF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1397003"/>
      <w:docPartObj>
        <w:docPartGallery w:val="Page Numbers (Bottom of Page)"/>
        <w:docPartUnique/>
      </w:docPartObj>
    </w:sdtPr>
    <w:sdtContent>
      <w:p w14:paraId="0CB7609E" w14:textId="77777777" w:rsidR="00AF4869" w:rsidRDefault="00AF48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246DE" w14:textId="77777777" w:rsidR="00AF4869" w:rsidRDefault="00AF48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0DB88" w14:textId="77777777" w:rsidR="000E6E11" w:rsidRDefault="000E6E11" w:rsidP="00AF4869">
      <w:pPr>
        <w:spacing w:after="0" w:line="240" w:lineRule="auto"/>
      </w:pPr>
      <w:r>
        <w:separator/>
      </w:r>
    </w:p>
  </w:footnote>
  <w:footnote w:type="continuationSeparator" w:id="0">
    <w:p w14:paraId="41272A40" w14:textId="77777777" w:rsidR="000E6E11" w:rsidRDefault="000E6E11" w:rsidP="00AF4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15415"/>
    <w:multiLevelType w:val="hybridMultilevel"/>
    <w:tmpl w:val="A8E02D68"/>
    <w:lvl w:ilvl="0" w:tplc="00DE99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B09"/>
    <w:multiLevelType w:val="hybridMultilevel"/>
    <w:tmpl w:val="8B501344"/>
    <w:lvl w:ilvl="0" w:tplc="010212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2916">
    <w:abstractNumId w:val="0"/>
  </w:num>
  <w:num w:numId="2" w16cid:durableId="52791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CE"/>
    <w:rsid w:val="00023871"/>
    <w:rsid w:val="000E6E11"/>
    <w:rsid w:val="000F137F"/>
    <w:rsid w:val="00195426"/>
    <w:rsid w:val="0028639D"/>
    <w:rsid w:val="002873F3"/>
    <w:rsid w:val="0031336E"/>
    <w:rsid w:val="003B6CF5"/>
    <w:rsid w:val="003D4BDE"/>
    <w:rsid w:val="003F3FAE"/>
    <w:rsid w:val="004218A1"/>
    <w:rsid w:val="004505ED"/>
    <w:rsid w:val="004A1B95"/>
    <w:rsid w:val="00500954"/>
    <w:rsid w:val="00521D33"/>
    <w:rsid w:val="005371C9"/>
    <w:rsid w:val="005D2261"/>
    <w:rsid w:val="006373EB"/>
    <w:rsid w:val="006772C2"/>
    <w:rsid w:val="006F26F2"/>
    <w:rsid w:val="007416A0"/>
    <w:rsid w:val="00792F70"/>
    <w:rsid w:val="007B7688"/>
    <w:rsid w:val="007D35EB"/>
    <w:rsid w:val="008054CE"/>
    <w:rsid w:val="008210BD"/>
    <w:rsid w:val="00861B72"/>
    <w:rsid w:val="008914BE"/>
    <w:rsid w:val="008F2659"/>
    <w:rsid w:val="00915799"/>
    <w:rsid w:val="009B6972"/>
    <w:rsid w:val="009F6A6A"/>
    <w:rsid w:val="00A231D0"/>
    <w:rsid w:val="00A23BA3"/>
    <w:rsid w:val="00A66613"/>
    <w:rsid w:val="00AF4869"/>
    <w:rsid w:val="00B51EC8"/>
    <w:rsid w:val="00BA282C"/>
    <w:rsid w:val="00BE2699"/>
    <w:rsid w:val="00C71B9C"/>
    <w:rsid w:val="00CE13F6"/>
    <w:rsid w:val="00D3534D"/>
    <w:rsid w:val="00E6396B"/>
    <w:rsid w:val="00E86D28"/>
    <w:rsid w:val="00EA4AC8"/>
    <w:rsid w:val="00EB1B25"/>
    <w:rsid w:val="00ED69C2"/>
    <w:rsid w:val="00EE05EC"/>
    <w:rsid w:val="00F13040"/>
    <w:rsid w:val="00F45D42"/>
    <w:rsid w:val="00FC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586E0"/>
  <w15:chartTrackingRefBased/>
  <w15:docId w15:val="{E4A09681-1E4A-4852-A975-77836F01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66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869"/>
  </w:style>
  <w:style w:type="paragraph" w:styleId="Pieddepage">
    <w:name w:val="footer"/>
    <w:basedOn w:val="Normal"/>
    <w:link w:val="PieddepageCar"/>
    <w:uiPriority w:val="99"/>
    <w:unhideWhenUsed/>
    <w:rsid w:val="00AF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869"/>
  </w:style>
  <w:style w:type="paragraph" w:styleId="Rvision">
    <w:name w:val="Revision"/>
    <w:hidden/>
    <w:uiPriority w:val="99"/>
    <w:semiHidden/>
    <w:rsid w:val="000F137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639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39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639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9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9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GASSET</dc:creator>
  <cp:keywords/>
  <dc:description/>
  <cp:lastModifiedBy>Marie-Laure JOURNET-BISIAUX</cp:lastModifiedBy>
  <cp:revision>4</cp:revision>
  <dcterms:created xsi:type="dcterms:W3CDTF">2025-07-17T11:45:00Z</dcterms:created>
  <dcterms:modified xsi:type="dcterms:W3CDTF">2025-07-17T13:04:00Z</dcterms:modified>
</cp:coreProperties>
</file>